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E5" w:rsidRPr="00D05F9C" w:rsidRDefault="00321061" w:rsidP="00135691">
      <w:pPr>
        <w:tabs>
          <w:tab w:val="center" w:pos="4252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bookmarkStart w:id="0" w:name="_GoBack"/>
      <w:bookmarkEnd w:id="0"/>
      <w:r w:rsidRPr="00D05F9C">
        <w:rPr>
          <w:rFonts w:ascii="Arial Unicode MS" w:eastAsia="Arial Unicode MS" w:hAnsi="Arial Unicode MS" w:cs="Arial Unicode MS"/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F2" w:rsidRPr="00D05F9C">
        <w:rPr>
          <w:rFonts w:ascii="Arial Unicode MS" w:eastAsia="Arial Unicode MS" w:hAnsi="Arial Unicode MS" w:cs="Arial Unicode MS"/>
          <w:sz w:val="28"/>
          <w:szCs w:val="28"/>
        </w:rPr>
        <w:t>UNIVERSIDAD NACIONAL JOSÉ FAUSTINO SÁNCHEZ CARRIÓN</w:t>
      </w:r>
    </w:p>
    <w:p w:rsidR="00B21EF2" w:rsidRPr="00D05F9C" w:rsidRDefault="00D05F9C" w:rsidP="00B21EF2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  <w:sz w:val="28"/>
          <w:szCs w:val="40"/>
        </w:rPr>
      </w:pPr>
      <w:r>
        <w:rPr>
          <w:rFonts w:ascii="Arial Unicode MS" w:eastAsia="Arial Unicode MS" w:hAnsi="Arial Unicode MS" w:cs="Arial Unicode MS"/>
          <w:sz w:val="28"/>
          <w:szCs w:val="40"/>
        </w:rPr>
        <w:t xml:space="preserve">           </w:t>
      </w:r>
      <w:r w:rsidR="00135691" w:rsidRPr="00D05F9C">
        <w:rPr>
          <w:rFonts w:ascii="Arial Unicode MS" w:eastAsia="Arial Unicode MS" w:hAnsi="Arial Unicode MS" w:cs="Arial Unicode MS"/>
          <w:sz w:val="28"/>
          <w:szCs w:val="40"/>
        </w:rPr>
        <w:t>Facultad</w:t>
      </w:r>
      <w:r w:rsidR="00CC6A89" w:rsidRPr="00D05F9C">
        <w:rPr>
          <w:rFonts w:ascii="Arial Unicode MS" w:eastAsia="Arial Unicode MS" w:hAnsi="Arial Unicode MS" w:cs="Arial Unicode MS"/>
          <w:sz w:val="28"/>
          <w:szCs w:val="40"/>
        </w:rPr>
        <w:t xml:space="preserve"> </w:t>
      </w:r>
      <w:r w:rsidR="00637B49" w:rsidRPr="00D05F9C">
        <w:rPr>
          <w:rFonts w:ascii="Arial Unicode MS" w:eastAsia="Arial Unicode MS" w:hAnsi="Arial Unicode MS" w:cs="Arial Unicode MS"/>
          <w:sz w:val="28"/>
          <w:szCs w:val="40"/>
        </w:rPr>
        <w:t>Ingeniería Agraria</w:t>
      </w:r>
      <w:r w:rsidR="00893834" w:rsidRPr="00D05F9C">
        <w:rPr>
          <w:rFonts w:ascii="Arial Unicode MS" w:eastAsia="Arial Unicode MS" w:hAnsi="Arial Unicode MS" w:cs="Arial Unicode MS"/>
          <w:sz w:val="28"/>
          <w:szCs w:val="40"/>
        </w:rPr>
        <w:t>,</w:t>
      </w:r>
      <w:r w:rsidR="00CC6A89" w:rsidRPr="00D05F9C">
        <w:rPr>
          <w:rFonts w:ascii="Arial Unicode MS" w:eastAsia="Arial Unicode MS" w:hAnsi="Arial Unicode MS" w:cs="Arial Unicode MS"/>
          <w:sz w:val="28"/>
          <w:szCs w:val="40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8"/>
          <w:szCs w:val="40"/>
        </w:rPr>
        <w:t>Industrias Alimentarias</w:t>
      </w:r>
      <w:r w:rsidR="00893834" w:rsidRPr="00D05F9C">
        <w:rPr>
          <w:rFonts w:ascii="Arial Unicode MS" w:eastAsia="Arial Unicode MS" w:hAnsi="Arial Unicode MS" w:cs="Arial Unicode MS"/>
          <w:sz w:val="28"/>
          <w:szCs w:val="40"/>
        </w:rPr>
        <w:t xml:space="preserve"> y Ambiental</w:t>
      </w:r>
    </w:p>
    <w:p w:rsidR="00B21EF2" w:rsidRPr="00D05F9C" w:rsidRDefault="00977A33" w:rsidP="00B21EF2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  <w:sz w:val="24"/>
          <w:szCs w:val="32"/>
        </w:rPr>
      </w:pPr>
      <w:r w:rsidRPr="00D05F9C">
        <w:rPr>
          <w:rFonts w:ascii="Arial Unicode MS" w:eastAsia="Arial Unicode MS" w:hAnsi="Arial Unicode MS" w:cs="Arial Unicode MS"/>
          <w:sz w:val="24"/>
          <w:szCs w:val="32"/>
        </w:rPr>
        <w:t xml:space="preserve">Escuela </w:t>
      </w:r>
      <w:r w:rsidR="00135691" w:rsidRPr="00D05F9C">
        <w:rPr>
          <w:rFonts w:ascii="Arial Unicode MS" w:eastAsia="Arial Unicode MS" w:hAnsi="Arial Unicode MS" w:cs="Arial Unicode MS"/>
          <w:sz w:val="24"/>
          <w:szCs w:val="32"/>
        </w:rPr>
        <w:t>Profesional de</w:t>
      </w:r>
      <w:r w:rsidRPr="00D05F9C">
        <w:rPr>
          <w:rFonts w:ascii="Arial Unicode MS" w:eastAsia="Arial Unicode MS" w:hAnsi="Arial Unicode MS" w:cs="Arial Unicode MS"/>
          <w:sz w:val="24"/>
          <w:szCs w:val="32"/>
        </w:rPr>
        <w:t xml:space="preserve"> </w:t>
      </w:r>
      <w:r w:rsidR="009D7FC4" w:rsidRPr="00D05F9C">
        <w:rPr>
          <w:rFonts w:ascii="Arial Unicode MS" w:eastAsia="Arial Unicode MS" w:hAnsi="Arial Unicode MS" w:cs="Arial Unicode MS"/>
          <w:sz w:val="24"/>
          <w:szCs w:val="32"/>
        </w:rPr>
        <w:t xml:space="preserve">Ingeniería </w:t>
      </w:r>
      <w:r w:rsidR="00E64D15" w:rsidRPr="00D05F9C">
        <w:rPr>
          <w:rFonts w:ascii="Arial Unicode MS" w:eastAsia="Arial Unicode MS" w:hAnsi="Arial Unicode MS" w:cs="Arial Unicode MS"/>
          <w:sz w:val="24"/>
          <w:szCs w:val="32"/>
        </w:rPr>
        <w:t>Zoot</w:t>
      </w:r>
      <w:r w:rsidR="009D7FC4" w:rsidRPr="00D05F9C">
        <w:rPr>
          <w:rFonts w:ascii="Arial Unicode MS" w:eastAsia="Arial Unicode MS" w:hAnsi="Arial Unicode MS" w:cs="Arial Unicode MS"/>
          <w:sz w:val="24"/>
          <w:szCs w:val="32"/>
        </w:rPr>
        <w:t>écnica</w:t>
      </w:r>
    </w:p>
    <w:p w:rsidR="00B21EF2" w:rsidRPr="00D05F9C" w:rsidRDefault="00135691" w:rsidP="00116471">
      <w:pPr>
        <w:tabs>
          <w:tab w:val="left" w:pos="4754"/>
        </w:tabs>
        <w:jc w:val="center"/>
        <w:rPr>
          <w:rFonts w:ascii="Arial Unicode MS" w:eastAsia="Arial Unicode MS" w:hAnsi="Arial Unicode MS" w:cs="Arial Unicode MS"/>
        </w:rPr>
      </w:pPr>
      <w:r w:rsidRPr="00D05F9C">
        <w:rPr>
          <w:rFonts w:ascii="Arial Unicode MS" w:eastAsia="Arial Unicode MS" w:hAnsi="Arial Unicode MS" w:cs="Arial Unicode MS"/>
          <w:sz w:val="28"/>
          <w:szCs w:val="28"/>
        </w:rPr>
        <w:t>S</w:t>
      </w:r>
      <w:r w:rsidR="000A709E" w:rsidRPr="00D05F9C">
        <w:rPr>
          <w:rFonts w:ascii="Arial Unicode MS" w:eastAsia="Arial Unicode MS" w:hAnsi="Arial Unicode MS" w:cs="Arial Unicode MS"/>
          <w:sz w:val="28"/>
          <w:szCs w:val="28"/>
        </w:rPr>
        <w:t>I</w:t>
      </w:r>
      <w:r w:rsidRPr="00D05F9C">
        <w:rPr>
          <w:rFonts w:ascii="Arial Unicode MS" w:eastAsia="Arial Unicode MS" w:hAnsi="Arial Unicode MS" w:cs="Arial Unicode MS"/>
          <w:sz w:val="28"/>
          <w:szCs w:val="28"/>
        </w:rPr>
        <w:t>LABO</w:t>
      </w:r>
    </w:p>
    <w:p w:rsidR="00B21EF2" w:rsidRPr="00D05F9C" w:rsidRDefault="00E64D15" w:rsidP="003B4ADE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MÉTODOS ESTADÍSTICOS PARA LA INVESTIGACIÓN</w:t>
      </w:r>
    </w:p>
    <w:p w:rsidR="00B21EF2" w:rsidRPr="00D05F9C" w:rsidRDefault="00B21EF2" w:rsidP="00B21EF2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DATOS GENERALES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Código de la Asignatura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405</w:t>
      </w:r>
    </w:p>
    <w:p w:rsidR="00B21EF2" w:rsidRPr="00D05F9C" w:rsidRDefault="006D1353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Escuela P</w:t>
      </w:r>
      <w:r w:rsidR="00B21EF2" w:rsidRPr="00D05F9C">
        <w:rPr>
          <w:rFonts w:ascii="Arial Unicode MS" w:eastAsia="Arial Unicode MS" w:hAnsi="Arial Unicode MS" w:cs="Arial Unicode MS"/>
          <w:sz w:val="24"/>
          <w:szCs w:val="24"/>
        </w:rPr>
        <w:t>rofesional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</w:t>
      </w:r>
      <w:r w:rsidR="00B21EF2"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D7FC4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Ingeniería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Zoot</w:t>
      </w:r>
      <w:r w:rsidR="00B956AA" w:rsidRPr="00D05F9C">
        <w:rPr>
          <w:rFonts w:ascii="Arial Unicode MS" w:eastAsia="Arial Unicode MS" w:hAnsi="Arial Unicode MS" w:cs="Arial Unicode MS"/>
          <w:sz w:val="24"/>
          <w:szCs w:val="24"/>
        </w:rPr>
        <w:t>é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cni</w:t>
      </w:r>
      <w:r w:rsidR="009D7FC4" w:rsidRPr="00D05F9C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a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Departamento Académico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05F9C" w:rsidRPr="00D05F9C">
        <w:rPr>
          <w:rFonts w:ascii="Arial Unicode MS" w:eastAsia="Arial Unicode MS" w:hAnsi="Arial Unicode MS" w:cs="Arial Unicode MS"/>
          <w:sz w:val="24"/>
          <w:szCs w:val="24"/>
        </w:rPr>
        <w:t>Ingeniería Zootécnica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Ciclo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VII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Créditos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04</w:t>
      </w:r>
    </w:p>
    <w:p w:rsidR="00FA5926" w:rsidRPr="00D05F9C" w:rsidRDefault="00FA5926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Plan de Estudios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72E3F" w:rsidRPr="00D05F9C">
        <w:rPr>
          <w:rFonts w:ascii="Arial Unicode MS" w:eastAsia="Arial Unicode MS" w:hAnsi="Arial Unicode MS" w:cs="Arial Unicode MS"/>
          <w:sz w:val="24"/>
          <w:szCs w:val="24"/>
        </w:rPr>
        <w:t>05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Condición</w:t>
      </w:r>
      <w:r w:rsidR="00A34ABE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Obligatorio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Horas Semanales</w:t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Teoría: 3; practica: 2</w:t>
      </w:r>
    </w:p>
    <w:p w:rsidR="00B21EF2" w:rsidRPr="00D05F9C" w:rsidRDefault="00431324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="00B21EF2" w:rsidRPr="00D05F9C">
        <w:rPr>
          <w:rFonts w:ascii="Arial Unicode MS" w:eastAsia="Arial Unicode MS" w:hAnsi="Arial Unicode MS" w:cs="Arial Unicode MS"/>
          <w:sz w:val="24"/>
          <w:szCs w:val="24"/>
        </w:rPr>
        <w:t>Pre-requisito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Estadística General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Semestre Académico</w:t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C242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201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>8</w:t>
      </w:r>
      <w:r w:rsidR="001C2E7A" w:rsidRPr="00D05F9C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AF387E" w:rsidRPr="00D05F9C">
        <w:rPr>
          <w:rFonts w:ascii="Arial Unicode MS" w:eastAsia="Arial Unicode MS" w:hAnsi="Arial Unicode MS" w:cs="Arial Unicode MS"/>
          <w:sz w:val="24"/>
          <w:szCs w:val="24"/>
        </w:rPr>
        <w:t>I</w:t>
      </w:r>
    </w:p>
    <w:p w:rsidR="00B21EF2" w:rsidRPr="00D05F9C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Docente</w:t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09A9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783A67" w:rsidRPr="00D05F9C">
        <w:rPr>
          <w:rFonts w:ascii="Arial Unicode MS" w:eastAsia="Arial Unicode MS" w:hAnsi="Arial Unicode MS" w:cs="Arial Unicode MS"/>
          <w:sz w:val="24"/>
          <w:szCs w:val="24"/>
        </w:rPr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05F9C">
        <w:rPr>
          <w:rFonts w:ascii="Arial Unicode MS" w:eastAsia="Arial Unicode MS" w:hAnsi="Arial Unicode MS" w:cs="Arial Unicode MS"/>
          <w:sz w:val="24"/>
          <w:szCs w:val="24"/>
        </w:rPr>
        <w:t>Airahuacho</w:t>
      </w:r>
      <w:proofErr w:type="spellEnd"/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Bautista </w:t>
      </w:r>
      <w:proofErr w:type="spellStart"/>
      <w:r w:rsidR="00D05F9C">
        <w:rPr>
          <w:rFonts w:ascii="Arial Unicode MS" w:eastAsia="Arial Unicode MS" w:hAnsi="Arial Unicode MS" w:cs="Arial Unicode MS"/>
          <w:sz w:val="24"/>
          <w:szCs w:val="24"/>
        </w:rPr>
        <w:t>Felix</w:t>
      </w:r>
      <w:proofErr w:type="spellEnd"/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Esteban</w:t>
      </w:r>
    </w:p>
    <w:p w:rsidR="0084582A" w:rsidRPr="00D05F9C" w:rsidRDefault="00B21EF2" w:rsidP="00EB7DD2">
      <w:pPr>
        <w:pStyle w:val="Prrafodelista"/>
        <w:tabs>
          <w:tab w:val="left" w:pos="1560"/>
          <w:tab w:val="left" w:pos="2127"/>
        </w:tabs>
        <w:ind w:left="1440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4582A" w:rsidRPr="00D05F9C">
        <w:rPr>
          <w:rFonts w:ascii="Arial Unicode MS" w:eastAsia="Arial Unicode MS" w:hAnsi="Arial Unicode MS" w:cs="Arial Unicode MS"/>
          <w:sz w:val="24"/>
          <w:szCs w:val="24"/>
        </w:rPr>
        <w:t>Colegiatura</w:t>
      </w:r>
      <w:r w:rsidR="0084582A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4582A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4582A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="0084582A" w:rsidRPr="00D05F9C">
        <w:rPr>
          <w:rFonts w:ascii="Arial Unicode MS" w:eastAsia="Arial Unicode MS" w:hAnsi="Arial Unicode MS" w:cs="Arial Unicode MS"/>
          <w:sz w:val="24"/>
          <w:szCs w:val="24"/>
        </w:rPr>
        <w:tab/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05F9C" w:rsidRPr="00D32356">
        <w:rPr>
          <w:rFonts w:ascii="Arial Unicode MS" w:eastAsia="Arial Unicode MS" w:hAnsi="Arial Unicode MS" w:cs="Arial Unicode MS"/>
          <w:sz w:val="24"/>
          <w:szCs w:val="24"/>
        </w:rPr>
        <w:t>92559</w:t>
      </w:r>
    </w:p>
    <w:p w:rsidR="0084582A" w:rsidRDefault="0084582A" w:rsidP="0084582A">
      <w:pPr>
        <w:pStyle w:val="Prrafodelista"/>
        <w:tabs>
          <w:tab w:val="left" w:pos="1560"/>
          <w:tab w:val="left" w:pos="2127"/>
        </w:tabs>
        <w:ind w:left="1440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  <w:t>Correo Electrónico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  <w:t>: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05F9C" w:rsidRPr="00D32356">
        <w:rPr>
          <w:rFonts w:ascii="Arial Unicode MS" w:eastAsia="Arial Unicode MS" w:hAnsi="Arial Unicode MS" w:cs="Arial Unicode MS"/>
          <w:sz w:val="24"/>
          <w:szCs w:val="24"/>
        </w:rPr>
        <w:t>estebanfelix1107@hotmail.com</w:t>
      </w:r>
    </w:p>
    <w:p w:rsidR="00A46740" w:rsidRDefault="00D05F9C" w:rsidP="00D05F9C">
      <w:pPr>
        <w:pStyle w:val="Prrafodelista"/>
        <w:tabs>
          <w:tab w:val="left" w:pos="1560"/>
          <w:tab w:val="left" w:pos="2127"/>
        </w:tabs>
        <w:ind w:left="144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153D90" w:rsidRPr="00D05F9C" w:rsidRDefault="00153D90" w:rsidP="00D05F9C">
      <w:pPr>
        <w:pStyle w:val="Prrafodelista"/>
        <w:tabs>
          <w:tab w:val="left" w:pos="1560"/>
          <w:tab w:val="left" w:pos="2127"/>
        </w:tabs>
        <w:ind w:left="1440"/>
        <w:rPr>
          <w:rFonts w:ascii="Arial Unicode MS" w:eastAsia="Arial Unicode MS" w:hAnsi="Arial Unicode MS" w:cs="Arial Unicode MS"/>
          <w:sz w:val="24"/>
          <w:szCs w:val="24"/>
        </w:rPr>
      </w:pPr>
    </w:p>
    <w:p w:rsidR="000F4E24" w:rsidRPr="00D05F9C" w:rsidRDefault="00A46740" w:rsidP="00916A3E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ind w:left="1134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SUMILLA</w:t>
      </w:r>
    </w:p>
    <w:p w:rsidR="00E64D15" w:rsidRDefault="00BB5DA5" w:rsidP="000F4E24">
      <w:pPr>
        <w:pStyle w:val="Prrafodelista"/>
        <w:tabs>
          <w:tab w:val="left" w:pos="1560"/>
          <w:tab w:val="left" w:pos="2552"/>
        </w:tabs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plicaciones de la distribución ji-cuadrado. Prueba de Hipótesis sobre frecuencias.</w:t>
      </w:r>
      <w:r w:rsid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64D15" w:rsidRPr="00D05F9C">
        <w:rPr>
          <w:rFonts w:ascii="Arial Unicode MS" w:eastAsia="Arial Unicode MS" w:hAnsi="Arial Unicode MS" w:cs="Arial Unicode MS"/>
          <w:sz w:val="24"/>
          <w:szCs w:val="24"/>
        </w:rPr>
        <w:t>Diseño Completamente Aleatorio. Análisis de varianza.</w:t>
      </w:r>
      <w:r w:rsidR="00916A3E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Prueba F. Prueba de Comparaciones múltiples. Diseño en Bloque aleatorio. Diseño Cuadrado Latino. Análisis de Covarianza. Experimentos factoriales. Parcelas divididas y sub divididas.</w:t>
      </w:r>
    </w:p>
    <w:p w:rsidR="00A46740" w:rsidRPr="00D05F9C" w:rsidRDefault="00A46740" w:rsidP="00F76A02">
      <w:pPr>
        <w:pStyle w:val="Sinespaciado"/>
        <w:numPr>
          <w:ilvl w:val="0"/>
          <w:numId w:val="1"/>
        </w:numPr>
        <w:tabs>
          <w:tab w:val="left" w:pos="1134"/>
        </w:tabs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METODOLOGIA DE ENSEÑANZA</w:t>
      </w:r>
    </w:p>
    <w:p w:rsidR="00F76A02" w:rsidRPr="00D05F9C" w:rsidRDefault="00F76A02" w:rsidP="00F76A02">
      <w:pPr>
        <w:pStyle w:val="Sinespaciado"/>
        <w:tabs>
          <w:tab w:val="left" w:pos="1134"/>
        </w:tabs>
        <w:ind w:left="1080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A46740" w:rsidRPr="00D05F9C" w:rsidRDefault="00A46740" w:rsidP="00A46740">
      <w:pPr>
        <w:pStyle w:val="Sinespaciado"/>
        <w:ind w:left="372" w:firstLine="708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3.1</w:t>
      </w:r>
      <w:r w:rsidR="00AC36F1" w:rsidRPr="00D05F9C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Competencias</w:t>
      </w:r>
    </w:p>
    <w:p w:rsidR="00F76A02" w:rsidRPr="00D05F9C" w:rsidRDefault="00F76A02" w:rsidP="00A46740">
      <w:pPr>
        <w:pStyle w:val="Sinespaciado"/>
        <w:ind w:left="372" w:firstLine="708"/>
        <w:rPr>
          <w:rFonts w:ascii="Arial Unicode MS" w:eastAsia="Arial Unicode MS" w:hAnsi="Arial Unicode MS" w:cs="Arial Unicode MS"/>
          <w:sz w:val="24"/>
          <w:szCs w:val="24"/>
        </w:rPr>
      </w:pPr>
    </w:p>
    <w:p w:rsidR="00916A3E" w:rsidRPr="00D05F9C" w:rsidRDefault="00053A1E" w:rsidP="00677932">
      <w:pPr>
        <w:pStyle w:val="Sinespaciad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Identifica</w:t>
      </w:r>
      <w:r w:rsidR="00916A3E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l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os</w:t>
      </w:r>
      <w:r w:rsidR="00916A3E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diferentes diseño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s estadísticos utilizados en producción animal.</w:t>
      </w:r>
    </w:p>
    <w:p w:rsidR="00AF387E" w:rsidRPr="00D05F9C" w:rsidRDefault="00AF387E" w:rsidP="00677932">
      <w:pPr>
        <w:pStyle w:val="Sinespaciad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Desarrolla los principales diseños experimentales en producción animal.</w:t>
      </w:r>
    </w:p>
    <w:p w:rsidR="00916A3E" w:rsidRPr="00D05F9C" w:rsidRDefault="001D25AE" w:rsidP="00677932">
      <w:pPr>
        <w:pStyle w:val="Sinespaciado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Evalúa</w:t>
      </w:r>
      <w:r w:rsidR="00916A3E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adecuadamente</w:t>
      </w:r>
      <w:r w:rsidR="00F76A02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los resultados generados por los diferentes diseños experimentales.</w:t>
      </w:r>
    </w:p>
    <w:p w:rsidR="00053A1E" w:rsidRPr="00D05F9C" w:rsidRDefault="00053A1E" w:rsidP="00053A1E">
      <w:pPr>
        <w:pStyle w:val="Sinespaciado"/>
        <w:ind w:left="180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46740" w:rsidRPr="00D05F9C" w:rsidRDefault="00A46740" w:rsidP="003B4ADE">
      <w:pPr>
        <w:pStyle w:val="Sinespaciado"/>
        <w:ind w:left="372" w:firstLine="708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3.2</w:t>
      </w:r>
      <w:r w:rsidR="00AC36F1" w:rsidRPr="00D05F9C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Estrategia</w:t>
      </w:r>
      <w:r w:rsidR="00941358" w:rsidRPr="00D05F9C">
        <w:rPr>
          <w:rFonts w:ascii="Arial Unicode MS" w:eastAsia="Arial Unicode MS" w:hAnsi="Arial Unicode MS" w:cs="Arial Unicode MS"/>
          <w:b/>
          <w:sz w:val="24"/>
          <w:szCs w:val="24"/>
        </w:rPr>
        <w:t>s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Metodológica</w:t>
      </w:r>
      <w:r w:rsidR="00941358" w:rsidRPr="00D05F9C">
        <w:rPr>
          <w:rFonts w:ascii="Arial Unicode MS" w:eastAsia="Arial Unicode MS" w:hAnsi="Arial Unicode MS" w:cs="Arial Unicode MS"/>
          <w:b/>
          <w:sz w:val="24"/>
          <w:szCs w:val="24"/>
        </w:rPr>
        <w:t>s</w:t>
      </w:r>
    </w:p>
    <w:p w:rsidR="00F76A02" w:rsidRPr="00D05F9C" w:rsidRDefault="00F76A02" w:rsidP="003B4ADE">
      <w:pPr>
        <w:pStyle w:val="Sinespaciado"/>
        <w:ind w:left="372" w:firstLine="708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F76A02" w:rsidRPr="00D05F9C" w:rsidRDefault="00F76A02" w:rsidP="004E415F">
      <w:pPr>
        <w:pStyle w:val="Sinespaciado"/>
        <w:ind w:left="1416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La asignatura será teórico-pr</w:t>
      </w:r>
      <w:r w:rsidR="004E415F" w:rsidRPr="00D05F9C">
        <w:rPr>
          <w:rFonts w:ascii="Arial Unicode MS" w:eastAsia="Arial Unicode MS" w:hAnsi="Arial Unicode MS" w:cs="Arial Unicode MS"/>
          <w:sz w:val="24"/>
          <w:szCs w:val="24"/>
        </w:rPr>
        <w:t>á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ctica. Las clases se desarrollarán empleando el método deductivo e inductivo a través de la exposición oral, con la participación activa de los alumnos. En las clases prácticas serán dirigidas y se desarrollarán a través de la resolución de problemas (</w:t>
      </w:r>
      <w:r w:rsidR="00F87A9E" w:rsidRPr="00D05F9C">
        <w:rPr>
          <w:rFonts w:ascii="Arial Unicode MS" w:eastAsia="Arial Unicode MS" w:hAnsi="Arial Unicode MS" w:cs="Arial Unicode MS"/>
          <w:sz w:val="24"/>
          <w:szCs w:val="24"/>
        </w:rPr>
        <w:t>estudio de casos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) y de trabajos académicos experimentales</w:t>
      </w:r>
    </w:p>
    <w:p w:rsidR="00F76A02" w:rsidRPr="00D05F9C" w:rsidRDefault="00F76A02" w:rsidP="003B4ADE">
      <w:pPr>
        <w:pStyle w:val="Sinespaciado"/>
        <w:ind w:left="372" w:firstLine="708"/>
        <w:rPr>
          <w:rFonts w:ascii="Arial Unicode MS" w:eastAsia="Arial Unicode MS" w:hAnsi="Arial Unicode MS" w:cs="Arial Unicode MS"/>
          <w:sz w:val="24"/>
          <w:szCs w:val="24"/>
        </w:rPr>
      </w:pPr>
    </w:p>
    <w:p w:rsidR="003B4ADE" w:rsidRPr="00D05F9C" w:rsidRDefault="003B4ADE" w:rsidP="00A46740">
      <w:pPr>
        <w:tabs>
          <w:tab w:val="left" w:pos="1560"/>
          <w:tab w:val="left" w:pos="2552"/>
        </w:tabs>
        <w:ind w:left="108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3.3. Medios y Materiales de enseñanza</w:t>
      </w:r>
    </w:p>
    <w:p w:rsidR="004E415F" w:rsidRDefault="004E415F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sz w:val="24"/>
          <w:szCs w:val="24"/>
        </w:rPr>
        <w:t>Pizarra acrílica, mota, plumones</w:t>
      </w:r>
      <w:r w:rsidR="00135AE6" w:rsidRPr="00D05F9C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35AE6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separatas 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y c</w:t>
      </w:r>
      <w:r w:rsidR="00AF387E" w:rsidRPr="00D05F9C">
        <w:rPr>
          <w:rFonts w:ascii="Arial Unicode MS" w:eastAsia="Arial Unicode MS" w:hAnsi="Arial Unicode MS" w:cs="Arial Unicode MS"/>
          <w:sz w:val="24"/>
          <w:szCs w:val="24"/>
        </w:rPr>
        <w:t>alculadora</w:t>
      </w:r>
      <w:r w:rsidR="00135AE6" w:rsidRPr="00D05F9C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D05F9C" w:rsidRDefault="00D05F9C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05F9C" w:rsidRDefault="00D05F9C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05F9C" w:rsidRDefault="00D05F9C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D05F9C" w:rsidRDefault="00D05F9C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0A67" w:rsidRDefault="00E50A67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0A67" w:rsidRDefault="00E50A67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0A67" w:rsidRDefault="00E50A67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0A67" w:rsidRDefault="00E50A67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50A67" w:rsidRDefault="00E50A67" w:rsidP="00977A33">
      <w:pPr>
        <w:ind w:left="1418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16B21" w:rsidRPr="00D05F9C" w:rsidRDefault="00DC0FD7" w:rsidP="00516B21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CONTENIDO TEMÁTICO Y CRONOGRAMA</w:t>
      </w:r>
    </w:p>
    <w:p w:rsidR="00B956AA" w:rsidRPr="00E50A67" w:rsidRDefault="00E50A67" w:rsidP="00D73F4A">
      <w:pPr>
        <w:spacing w:after="0" w:line="240" w:lineRule="auto"/>
        <w:ind w:left="3060" w:hanging="2776"/>
        <w:jc w:val="center"/>
        <w:rPr>
          <w:rFonts w:ascii="Arial Unicode MS" w:eastAsia="Arial Unicode MS" w:hAnsi="Arial Unicode MS" w:cs="Arial Unicode MS"/>
          <w:b/>
          <w:szCs w:val="24"/>
        </w:rPr>
      </w:pPr>
      <w:r>
        <w:rPr>
          <w:rFonts w:ascii="Arial Unicode MS" w:eastAsia="Arial Unicode MS" w:hAnsi="Arial Unicode MS" w:cs="Arial Unicode MS"/>
          <w:b/>
          <w:szCs w:val="24"/>
        </w:rPr>
        <w:t xml:space="preserve">UNIDAD DE APRENDIZAJE  Nº 1: </w:t>
      </w:r>
      <w:r w:rsidR="00516B21" w:rsidRPr="00E50A67">
        <w:rPr>
          <w:rFonts w:ascii="Arial Unicode MS" w:eastAsia="Arial Unicode MS" w:hAnsi="Arial Unicode MS" w:cs="Arial Unicode MS"/>
          <w:b/>
          <w:szCs w:val="24"/>
        </w:rPr>
        <w:t>Consideraciones Básicas en el Diseño de Experimentos</w:t>
      </w:r>
    </w:p>
    <w:p w:rsidR="00516B21" w:rsidRPr="00E50A67" w:rsidRDefault="00516B21" w:rsidP="00D73F4A">
      <w:pPr>
        <w:spacing w:after="0" w:line="240" w:lineRule="auto"/>
        <w:ind w:left="360"/>
        <w:rPr>
          <w:rFonts w:ascii="Arial Unicode MS" w:eastAsia="Arial Unicode MS" w:hAnsi="Arial Unicode MS" w:cs="Arial Unicode MS"/>
          <w:szCs w:val="24"/>
        </w:rPr>
      </w:pPr>
      <w:r w:rsidRPr="00E50A67">
        <w:rPr>
          <w:rFonts w:ascii="Arial Unicode MS" w:eastAsia="Arial Unicode MS" w:hAnsi="Arial Unicode MS" w:cs="Arial Unicode MS"/>
          <w:b/>
          <w:szCs w:val="24"/>
        </w:rPr>
        <w:t xml:space="preserve">CAPACIDAD GENERAL.  </w:t>
      </w:r>
      <w:r w:rsidRPr="00E50A67">
        <w:rPr>
          <w:rFonts w:ascii="Arial Unicode MS" w:eastAsia="Arial Unicode MS" w:hAnsi="Arial Unicode MS" w:cs="Arial Unicode MS"/>
          <w:szCs w:val="24"/>
        </w:rPr>
        <w:t>Utiliza las consider</w:t>
      </w:r>
      <w:r w:rsidR="00D73F4A" w:rsidRPr="00E50A67">
        <w:rPr>
          <w:rFonts w:ascii="Arial Unicode MS" w:eastAsia="Arial Unicode MS" w:hAnsi="Arial Unicode MS" w:cs="Arial Unicode MS"/>
          <w:szCs w:val="24"/>
        </w:rPr>
        <w:t>aciones básicas en el Diseño de e</w:t>
      </w:r>
      <w:r w:rsidRPr="00E50A67">
        <w:rPr>
          <w:rFonts w:ascii="Arial Unicode MS" w:eastAsia="Arial Unicode MS" w:hAnsi="Arial Unicode MS" w:cs="Arial Unicode MS"/>
          <w:szCs w:val="24"/>
        </w:rPr>
        <w:t xml:space="preserve">xperimentos para aplicarlas en una investigación. 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978"/>
        <w:gridCol w:w="2268"/>
      </w:tblGrid>
      <w:tr w:rsidR="00B956AA" w:rsidRPr="00D05F9C" w:rsidTr="00DD73EE">
        <w:trPr>
          <w:jc w:val="center"/>
        </w:trPr>
        <w:tc>
          <w:tcPr>
            <w:tcW w:w="4673" w:type="dxa"/>
            <w:vAlign w:val="center"/>
          </w:tcPr>
          <w:p w:rsidR="00B956AA" w:rsidRPr="00D05F9C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05F9C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CONTENIDO TEMÁTICO</w:t>
            </w:r>
          </w:p>
        </w:tc>
        <w:tc>
          <w:tcPr>
            <w:tcW w:w="2978" w:type="dxa"/>
            <w:vAlign w:val="center"/>
          </w:tcPr>
          <w:p w:rsidR="00B956AA" w:rsidRPr="00D05F9C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05F9C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CAPACIDADES ESPECÍFICAS</w:t>
            </w:r>
          </w:p>
        </w:tc>
        <w:tc>
          <w:tcPr>
            <w:tcW w:w="2268" w:type="dxa"/>
            <w:vAlign w:val="center"/>
          </w:tcPr>
          <w:p w:rsidR="00B956AA" w:rsidRPr="00D05F9C" w:rsidRDefault="00DD73EE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 xml:space="preserve">  </w:t>
            </w:r>
            <w:r w:rsidR="00B956AA" w:rsidRPr="00D05F9C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ACTITUDES</w:t>
            </w:r>
          </w:p>
        </w:tc>
      </w:tr>
      <w:tr w:rsidR="00B956AA" w:rsidRPr="00E50A67" w:rsidTr="00DD73EE">
        <w:trPr>
          <w:jc w:val="center"/>
        </w:trPr>
        <w:tc>
          <w:tcPr>
            <w:tcW w:w="4673" w:type="dxa"/>
          </w:tcPr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PRIMERA SEMANA</w:t>
            </w:r>
          </w:p>
          <w:p w:rsidR="00B956AA" w:rsidRPr="00E50A67" w:rsidRDefault="00BE0F15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Sesión </w:t>
            </w:r>
            <w:r w:rsidR="00B956AA"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1: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F855E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Generalidades de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los métodos</w:t>
            </w:r>
            <w:r w:rsidR="0071006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estadístic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os</w:t>
            </w:r>
            <w:r w:rsidR="00F855E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F855E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Su importancia en la investigación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  <w:r w:rsidR="00A01682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Introducción a la inferencia estadística básica.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="00F855ED"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 </w:t>
            </w:r>
            <w:r w:rsidR="00DD73EE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Introducción al software R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SEGUNDA SEMANA</w:t>
            </w:r>
          </w:p>
          <w:p w:rsidR="00977A33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2: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Inferencia estadística</w:t>
            </w:r>
            <w:r w:rsidR="00A01682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básica: Prueba de hipótesis (media vs estándar, dos medias, proporción vs estándar, dos proporciones)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TERCERA SEMANA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3:</w:t>
            </w:r>
            <w:r w:rsidR="00BE0F15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L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os principales diseños experimentales en zootecnia.</w:t>
            </w:r>
            <w:r w:rsidR="00BE0F15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A01682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Introducción al análisis de variancia.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="00BE0F15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de casos.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CUARTA SEMANA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4: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La técnica del análisis de varianza (ANOVA) y sus asunciones.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Estudio de casos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</w:p>
        </w:tc>
        <w:tc>
          <w:tcPr>
            <w:tcW w:w="2978" w:type="dxa"/>
          </w:tcPr>
          <w:p w:rsidR="007E6434" w:rsidRPr="00E50A67" w:rsidRDefault="007E6434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Utiliza los conceptos básicos de la inferencia estadística y conoce los criterios de decisión.</w:t>
            </w:r>
          </w:p>
          <w:p w:rsidR="007E6434" w:rsidRPr="00E50A67" w:rsidRDefault="007E6434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Utiliza la terminología fundamental en el diseño de experimentos e identifica los principales diseños experimentales.</w:t>
            </w:r>
          </w:p>
          <w:p w:rsidR="007E6434" w:rsidRPr="00E50A67" w:rsidRDefault="007E6434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Comprueba las asunciones del análisis de varianza en los datos de un experimento.  </w:t>
            </w:r>
          </w:p>
        </w:tc>
        <w:tc>
          <w:tcPr>
            <w:tcW w:w="2268" w:type="dxa"/>
          </w:tcPr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E6434" w:rsidRPr="00E50A67" w:rsidRDefault="007E6434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E6434" w:rsidRPr="00E50A67" w:rsidRDefault="007E6434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Valora y reconoce la utilidad de los métodos estadísticos</w:t>
            </w: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05F9C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Es riguroso en los requisitos estadísticos para poder utilizar un diseño experimental.</w:t>
            </w:r>
          </w:p>
        </w:tc>
      </w:tr>
    </w:tbl>
    <w:p w:rsidR="007E6434" w:rsidRPr="00D05F9C" w:rsidRDefault="007E6434" w:rsidP="00D05F9C">
      <w:pPr>
        <w:spacing w:after="0" w:line="240" w:lineRule="auto"/>
        <w:ind w:left="3060" w:hanging="2776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516B21" w:rsidRPr="00E50A67" w:rsidRDefault="00E50A67" w:rsidP="00E50A67">
      <w:pPr>
        <w:spacing w:after="0" w:line="240" w:lineRule="auto"/>
        <w:ind w:left="3060" w:hanging="2776"/>
        <w:jc w:val="center"/>
        <w:rPr>
          <w:rFonts w:ascii="Arial Unicode MS" w:eastAsia="Arial Unicode MS" w:hAnsi="Arial Unicode MS" w:cs="Arial Unicode MS"/>
          <w:b/>
          <w:szCs w:val="24"/>
        </w:rPr>
      </w:pPr>
      <w:r>
        <w:rPr>
          <w:rFonts w:ascii="Arial Unicode MS" w:eastAsia="Arial Unicode MS" w:hAnsi="Arial Unicode MS" w:cs="Arial Unicode MS"/>
          <w:b/>
          <w:szCs w:val="24"/>
        </w:rPr>
        <w:t xml:space="preserve">UNIDAD DE APRENDIZAJE Nº 2: </w:t>
      </w:r>
      <w:r w:rsidR="00516B21" w:rsidRPr="00E50A67">
        <w:rPr>
          <w:rFonts w:ascii="Arial Unicode MS" w:eastAsia="Arial Unicode MS" w:hAnsi="Arial Unicode MS" w:cs="Arial Unicode MS"/>
          <w:b/>
          <w:szCs w:val="24"/>
        </w:rPr>
        <w:t>Los Principales Diseños Experimentales en Producción Animal</w:t>
      </w:r>
    </w:p>
    <w:p w:rsidR="00516B21" w:rsidRPr="00E50A67" w:rsidRDefault="00516B21" w:rsidP="00D73F4A">
      <w:pPr>
        <w:spacing w:after="0" w:line="240" w:lineRule="auto"/>
        <w:ind w:left="284"/>
        <w:jc w:val="both"/>
        <w:rPr>
          <w:rFonts w:ascii="Arial Unicode MS" w:eastAsia="Arial Unicode MS" w:hAnsi="Arial Unicode MS" w:cs="Arial Unicode MS"/>
          <w:szCs w:val="24"/>
        </w:rPr>
      </w:pPr>
      <w:r w:rsidRPr="00E50A67">
        <w:rPr>
          <w:rFonts w:ascii="Arial Unicode MS" w:eastAsia="Arial Unicode MS" w:hAnsi="Arial Unicode MS" w:cs="Arial Unicode MS"/>
          <w:b/>
          <w:szCs w:val="24"/>
        </w:rPr>
        <w:t xml:space="preserve">CAPACIDAD GENERAL.  </w:t>
      </w:r>
      <w:r w:rsidR="00F14A9C" w:rsidRPr="00E50A67">
        <w:rPr>
          <w:rFonts w:ascii="Arial Unicode MS" w:eastAsia="Arial Unicode MS" w:hAnsi="Arial Unicode MS" w:cs="Arial Unicode MS"/>
          <w:szCs w:val="24"/>
        </w:rPr>
        <w:t>Aplica</w:t>
      </w:r>
      <w:r w:rsidRPr="00E50A67">
        <w:rPr>
          <w:rFonts w:ascii="Arial Unicode MS" w:eastAsia="Arial Unicode MS" w:hAnsi="Arial Unicode MS" w:cs="Arial Unicode MS"/>
          <w:szCs w:val="24"/>
        </w:rPr>
        <w:t xml:space="preserve"> los diferentes diseños experimentales y analiza adecuadamente sus resultados.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268"/>
      </w:tblGrid>
      <w:tr w:rsidR="00B956AA" w:rsidRPr="00DD73EE" w:rsidTr="00DD73EE">
        <w:tc>
          <w:tcPr>
            <w:tcW w:w="4678" w:type="dxa"/>
            <w:vAlign w:val="center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CONTENIDO TEMÁTICO</w:t>
            </w:r>
          </w:p>
        </w:tc>
        <w:tc>
          <w:tcPr>
            <w:tcW w:w="2977" w:type="dxa"/>
            <w:vAlign w:val="center"/>
          </w:tcPr>
          <w:p w:rsidR="00B956AA" w:rsidRPr="00DD73EE" w:rsidRDefault="00174FE4" w:rsidP="00DD73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CAPACIDADES</w:t>
            </w:r>
          </w:p>
          <w:p w:rsidR="00174FE4" w:rsidRPr="00DD73EE" w:rsidRDefault="00174FE4" w:rsidP="00DD73E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ESPECÍFICAS</w:t>
            </w:r>
          </w:p>
        </w:tc>
        <w:tc>
          <w:tcPr>
            <w:tcW w:w="2268" w:type="dxa"/>
            <w:vAlign w:val="center"/>
          </w:tcPr>
          <w:p w:rsidR="00B956AA" w:rsidRPr="00DD73EE" w:rsidRDefault="00174FE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 xml:space="preserve">           </w:t>
            </w:r>
            <w:r w:rsidR="00B956AA"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ACTITUDES</w:t>
            </w:r>
          </w:p>
        </w:tc>
      </w:tr>
      <w:tr w:rsidR="00B956AA" w:rsidRPr="00DD73EE" w:rsidTr="00DD73EE">
        <w:tc>
          <w:tcPr>
            <w:tcW w:w="4678" w:type="dxa"/>
          </w:tcPr>
          <w:p w:rsidR="003F4FEF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QUINTA SEMANA</w:t>
            </w:r>
          </w:p>
          <w:p w:rsidR="00783A67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5: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El Diseño Complet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amente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al Azar (DCA).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SEXTA SEMANA</w:t>
            </w:r>
          </w:p>
          <w:p w:rsidR="003F4FEF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6: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El Diseño de Bloques Completos al Azar (DBCA).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SEPTIMA SEMANA</w:t>
            </w:r>
          </w:p>
          <w:p w:rsidR="003F4FEF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7: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El Diseño de Cuadrado Latino (DCL). </w:t>
            </w:r>
          </w:p>
          <w:p w:rsidR="00977A33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Evaluación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OCTAVA SEMANA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Sesión 8: PRIMER PARCIAL</w:t>
            </w:r>
          </w:p>
        </w:tc>
        <w:tc>
          <w:tcPr>
            <w:tcW w:w="2977" w:type="dxa"/>
          </w:tcPr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Utiliza y analiza adecuadamente el DCA.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Utiliza y analiza adecuadamente el DBCA.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Utiliza y analiza adecuadamente el DCL. </w:t>
            </w:r>
          </w:p>
        </w:tc>
        <w:tc>
          <w:tcPr>
            <w:tcW w:w="2268" w:type="dxa"/>
          </w:tcPr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977A33" w:rsidRPr="00E50A67" w:rsidRDefault="00977A3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Es cuidadoso al elegir el diseño experimental más adecuado a las circunstancias.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Valora el rigor estadístico  y es estricto en su</w:t>
            </w:r>
            <w:r w:rsidR="00744CF3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procedimientos</w:t>
            </w:r>
          </w:p>
        </w:tc>
      </w:tr>
    </w:tbl>
    <w:p w:rsidR="00516B21" w:rsidRPr="00E50A67" w:rsidRDefault="00E50A67" w:rsidP="00E50A67">
      <w:pPr>
        <w:spacing w:after="0"/>
        <w:ind w:left="3060" w:hanging="2776"/>
        <w:jc w:val="center"/>
        <w:rPr>
          <w:rFonts w:ascii="Arial Unicode MS" w:eastAsia="Arial Unicode MS" w:hAnsi="Arial Unicode MS" w:cs="Arial Unicode MS"/>
          <w:b/>
          <w:szCs w:val="24"/>
        </w:rPr>
      </w:pPr>
      <w:r>
        <w:rPr>
          <w:rFonts w:ascii="Arial Unicode MS" w:eastAsia="Arial Unicode MS" w:hAnsi="Arial Unicode MS" w:cs="Arial Unicode MS"/>
          <w:b/>
          <w:szCs w:val="24"/>
        </w:rPr>
        <w:lastRenderedPageBreak/>
        <w:t xml:space="preserve">UNIDAD DE APRENDIZAJE  Nº 3: </w:t>
      </w:r>
      <w:r w:rsidR="00516B21" w:rsidRPr="00E50A67">
        <w:rPr>
          <w:rFonts w:ascii="Arial Unicode MS" w:eastAsia="Arial Unicode MS" w:hAnsi="Arial Unicode MS" w:cs="Arial Unicode MS"/>
          <w:b/>
          <w:szCs w:val="24"/>
        </w:rPr>
        <w:t xml:space="preserve">Pruebas de Comparaciones Múltiples </w:t>
      </w:r>
      <w:r w:rsidRPr="00E50A67">
        <w:rPr>
          <w:rFonts w:ascii="Arial Unicode MS" w:eastAsia="Arial Unicode MS" w:hAnsi="Arial Unicode MS" w:cs="Arial Unicode MS"/>
          <w:b/>
          <w:szCs w:val="24"/>
        </w:rPr>
        <w:t>de promedios</w:t>
      </w:r>
      <w:r w:rsidR="00516B21" w:rsidRPr="00E50A67">
        <w:rPr>
          <w:rFonts w:ascii="Arial Unicode MS" w:eastAsia="Arial Unicode MS" w:hAnsi="Arial Unicode MS" w:cs="Arial Unicode MS"/>
          <w:b/>
          <w:szCs w:val="24"/>
        </w:rPr>
        <w:t xml:space="preserve"> de Tratamientos</w:t>
      </w:r>
    </w:p>
    <w:p w:rsidR="00516B21" w:rsidRPr="00D05F9C" w:rsidRDefault="00516B21" w:rsidP="00DD73EE">
      <w:pPr>
        <w:spacing w:after="0" w:line="240" w:lineRule="auto"/>
        <w:ind w:left="28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50A67">
        <w:rPr>
          <w:rFonts w:ascii="Arial Unicode MS" w:eastAsia="Arial Unicode MS" w:hAnsi="Arial Unicode MS" w:cs="Arial Unicode MS"/>
          <w:b/>
          <w:szCs w:val="24"/>
        </w:rPr>
        <w:t xml:space="preserve">CAPACIDAD GENERAL.  </w:t>
      </w:r>
      <w:r w:rsidR="00F14A9C" w:rsidRPr="00E50A67">
        <w:rPr>
          <w:rFonts w:ascii="Arial Unicode MS" w:eastAsia="Arial Unicode MS" w:hAnsi="Arial Unicode MS" w:cs="Arial Unicode MS"/>
          <w:szCs w:val="24"/>
        </w:rPr>
        <w:t>Aplica</w:t>
      </w:r>
      <w:r w:rsidRPr="00E50A67">
        <w:rPr>
          <w:rFonts w:ascii="Arial Unicode MS" w:eastAsia="Arial Unicode MS" w:hAnsi="Arial Unicode MS" w:cs="Arial Unicode MS"/>
          <w:szCs w:val="24"/>
        </w:rPr>
        <w:t xml:space="preserve"> las diferentes pruebas de comparaciones múltiples de promedios de tratamientos analizando adecuadamente sus resultados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268"/>
      </w:tblGrid>
      <w:tr w:rsidR="00B956AA" w:rsidRPr="00DD73EE" w:rsidTr="00DD73EE">
        <w:tc>
          <w:tcPr>
            <w:tcW w:w="4678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CONTENIDO TEMÁTICO</w:t>
            </w:r>
          </w:p>
        </w:tc>
        <w:tc>
          <w:tcPr>
            <w:tcW w:w="2977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CAPACIDADES ESPECÍFICAS</w:t>
            </w:r>
          </w:p>
        </w:tc>
        <w:tc>
          <w:tcPr>
            <w:tcW w:w="2268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ACTITUDES</w:t>
            </w:r>
          </w:p>
        </w:tc>
      </w:tr>
      <w:tr w:rsidR="00B956AA" w:rsidRPr="00DD73EE" w:rsidTr="00DD73EE">
        <w:tc>
          <w:tcPr>
            <w:tcW w:w="4678" w:type="dxa"/>
          </w:tcPr>
          <w:p w:rsidR="003F4FEF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NOVENA SEMANA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9: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06543B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C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omparaci</w:t>
            </w:r>
            <w:r w:rsidR="00135AE6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ones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135AE6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múltiples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(</w:t>
            </w:r>
            <w:proofErr w:type="spellStart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Tukey</w:t>
            </w:r>
            <w:proofErr w:type="spellEnd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, </w:t>
            </w:r>
            <w:proofErr w:type="spellStart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Bonferroni</w:t>
            </w:r>
            <w:proofErr w:type="spellEnd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y </w:t>
            </w:r>
            <w:proofErr w:type="spellStart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Dunnett</w:t>
            </w:r>
            <w:proofErr w:type="spellEnd"/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)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DÉCIMA SEMANA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10: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06543B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Comparaciones por c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ontrastes ortogonales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DECIMO PRIMERA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SEMANA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11.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Arreglos factoriales/parcelas divididas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DECIMO SEGUNDA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SEMANA</w:t>
            </w:r>
          </w:p>
          <w:p w:rsidR="00B956AA" w:rsidRPr="00E50A67" w:rsidRDefault="00B956AA" w:rsidP="00DD73EE">
            <w:pPr>
              <w:spacing w:after="0" w:line="240" w:lineRule="auto"/>
              <w:ind w:right="252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12: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Análisis de covarianza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  <w:p w:rsidR="00B956AA" w:rsidRPr="00E50A67" w:rsidRDefault="00B956AA" w:rsidP="00DD73EE">
            <w:pPr>
              <w:spacing w:after="0" w:line="240" w:lineRule="auto"/>
              <w:ind w:right="252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Estudio de casos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Utiliza y analiza adecuadamente la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Prueba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</w:t>
            </w:r>
            <w:r w:rsidR="00977A33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B109B4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a priori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  <w:p w:rsidR="00174FE4" w:rsidRPr="00E50A67" w:rsidRDefault="00174FE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109B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Establece y analiza adecuadamente los contrastes ortogonales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  <w:p w:rsidR="007E6434" w:rsidRPr="00E50A67" w:rsidRDefault="007E643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977A33" w:rsidRPr="00E50A67" w:rsidRDefault="00977A3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109B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Aplica y analiza las diferentes técnicas adicionales en el diseño de experimentos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B109B4" w:rsidRPr="00E50A67" w:rsidRDefault="00B109B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E6434" w:rsidRPr="00E50A67" w:rsidRDefault="007E643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Reconoce la importancia las pruebas de comparaciones múltiples 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E6434" w:rsidRPr="00E50A67" w:rsidRDefault="007E6434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977A33" w:rsidRPr="00E50A67" w:rsidRDefault="00977A3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Valora el rigor estadístico  y es cuidadoso en sus procedimientos</w:t>
            </w:r>
          </w:p>
        </w:tc>
      </w:tr>
    </w:tbl>
    <w:p w:rsidR="007E6434" w:rsidRPr="00D05F9C" w:rsidRDefault="007E6434" w:rsidP="00DD73EE">
      <w:pPr>
        <w:spacing w:after="0" w:line="240" w:lineRule="auto"/>
        <w:ind w:left="3060" w:hanging="2776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516B21" w:rsidRPr="00E50A67" w:rsidRDefault="00E50A67" w:rsidP="00E50A67">
      <w:pPr>
        <w:spacing w:after="0" w:line="240" w:lineRule="auto"/>
        <w:ind w:left="3060" w:hanging="2776"/>
        <w:jc w:val="center"/>
        <w:rPr>
          <w:rFonts w:ascii="Arial Unicode MS" w:eastAsia="Arial Unicode MS" w:hAnsi="Arial Unicode MS" w:cs="Arial Unicode MS"/>
          <w:szCs w:val="24"/>
        </w:rPr>
      </w:pPr>
      <w:r w:rsidRPr="00E50A67">
        <w:rPr>
          <w:rFonts w:ascii="Arial Unicode MS" w:eastAsia="Arial Unicode MS" w:hAnsi="Arial Unicode MS" w:cs="Arial Unicode MS"/>
          <w:b/>
          <w:szCs w:val="24"/>
        </w:rPr>
        <w:t xml:space="preserve">UNIDAD DE APRENDIZAJE  Nº 4: </w:t>
      </w:r>
      <w:r w:rsidR="004A4767" w:rsidRPr="00E50A67">
        <w:rPr>
          <w:rFonts w:ascii="Arial Unicode MS" w:eastAsia="Arial Unicode MS" w:hAnsi="Arial Unicode MS" w:cs="Arial Unicode MS"/>
          <w:b/>
          <w:szCs w:val="24"/>
        </w:rPr>
        <w:t>Estadística no paramétrica</w:t>
      </w:r>
      <w:r w:rsidR="00516B21" w:rsidRPr="00E50A67">
        <w:rPr>
          <w:rFonts w:ascii="Arial Unicode MS" w:eastAsia="Arial Unicode MS" w:hAnsi="Arial Unicode MS" w:cs="Arial Unicode MS"/>
          <w:b/>
          <w:szCs w:val="24"/>
        </w:rPr>
        <w:t>.</w:t>
      </w:r>
    </w:p>
    <w:p w:rsidR="00516B21" w:rsidRPr="00E50A67" w:rsidRDefault="00516B21" w:rsidP="00D73F4A">
      <w:pPr>
        <w:spacing w:after="0" w:line="240" w:lineRule="auto"/>
        <w:ind w:left="284"/>
        <w:jc w:val="both"/>
        <w:rPr>
          <w:rFonts w:ascii="Arial Unicode MS" w:eastAsia="Arial Unicode MS" w:hAnsi="Arial Unicode MS" w:cs="Arial Unicode MS"/>
          <w:szCs w:val="24"/>
        </w:rPr>
      </w:pPr>
      <w:r w:rsidRPr="00E50A67">
        <w:rPr>
          <w:rFonts w:ascii="Arial Unicode MS" w:eastAsia="Arial Unicode MS" w:hAnsi="Arial Unicode MS" w:cs="Arial Unicode MS"/>
          <w:b/>
          <w:szCs w:val="24"/>
        </w:rPr>
        <w:t xml:space="preserve">CAPACIDAD GENERAL.  </w:t>
      </w:r>
      <w:r w:rsidRPr="00E50A67">
        <w:rPr>
          <w:rFonts w:ascii="Arial Unicode MS" w:eastAsia="Arial Unicode MS" w:hAnsi="Arial Unicode MS" w:cs="Arial Unicode MS"/>
          <w:szCs w:val="24"/>
        </w:rPr>
        <w:t>Aplica l</w:t>
      </w:r>
      <w:r w:rsidR="003F4FEF" w:rsidRPr="00E50A67">
        <w:rPr>
          <w:rFonts w:ascii="Arial Unicode MS" w:eastAsia="Arial Unicode MS" w:hAnsi="Arial Unicode MS" w:cs="Arial Unicode MS"/>
          <w:szCs w:val="24"/>
        </w:rPr>
        <w:t>o</w:t>
      </w:r>
      <w:r w:rsidRPr="00E50A67">
        <w:rPr>
          <w:rFonts w:ascii="Arial Unicode MS" w:eastAsia="Arial Unicode MS" w:hAnsi="Arial Unicode MS" w:cs="Arial Unicode MS"/>
          <w:szCs w:val="24"/>
        </w:rPr>
        <w:t xml:space="preserve">s diferentes </w:t>
      </w:r>
      <w:r w:rsidR="004A4767" w:rsidRPr="00E50A67">
        <w:rPr>
          <w:rFonts w:ascii="Arial Unicode MS" w:eastAsia="Arial Unicode MS" w:hAnsi="Arial Unicode MS" w:cs="Arial Unicode MS"/>
          <w:szCs w:val="24"/>
        </w:rPr>
        <w:t>diseños no paramétricos que se utilizan en producción animal y analiza adecuadamente sus resultados</w:t>
      </w:r>
      <w:r w:rsidRPr="00E50A67">
        <w:rPr>
          <w:rFonts w:ascii="Arial Unicode MS" w:eastAsia="Arial Unicode MS" w:hAnsi="Arial Unicode MS" w:cs="Arial Unicode MS"/>
          <w:szCs w:val="24"/>
        </w:rPr>
        <w:t xml:space="preserve">. 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268"/>
      </w:tblGrid>
      <w:tr w:rsidR="00B956AA" w:rsidRPr="00DD73EE" w:rsidTr="00DD73EE">
        <w:tc>
          <w:tcPr>
            <w:tcW w:w="4678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CONTENIDO TEMÁTICO</w:t>
            </w:r>
          </w:p>
        </w:tc>
        <w:tc>
          <w:tcPr>
            <w:tcW w:w="2977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CAPACIDADES ESPECÍFICAS</w:t>
            </w:r>
          </w:p>
        </w:tc>
        <w:tc>
          <w:tcPr>
            <w:tcW w:w="2268" w:type="dxa"/>
          </w:tcPr>
          <w:p w:rsidR="00B956AA" w:rsidRPr="00DD73EE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</w:pPr>
            <w:r w:rsidRPr="00DD73EE">
              <w:rPr>
                <w:rFonts w:ascii="Arial Unicode MS" w:eastAsia="Arial Unicode MS" w:hAnsi="Arial Unicode MS" w:cs="Arial Unicode MS"/>
                <w:b/>
                <w:sz w:val="20"/>
                <w:szCs w:val="24"/>
              </w:rPr>
              <w:t>ACTITUDES</w:t>
            </w:r>
          </w:p>
        </w:tc>
      </w:tr>
      <w:tr w:rsidR="00B956AA" w:rsidRPr="00E50A67" w:rsidTr="00DD73EE">
        <w:tc>
          <w:tcPr>
            <w:tcW w:w="4678" w:type="dxa"/>
          </w:tcPr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DECIMO TERCERA SEMANA</w:t>
            </w:r>
          </w:p>
          <w:p w:rsidR="00977A33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13: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A41C0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Análisis de datos categóricos (tablas de contingencia).</w:t>
            </w:r>
            <w:r w:rsidR="00A41C0D"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 </w:t>
            </w:r>
          </w:p>
          <w:p w:rsidR="004A4767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 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DECIMO CUARTA SEMANA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14:</w:t>
            </w:r>
            <w:r w:rsidR="00783A67"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 </w:t>
            </w:r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Prueba de </w:t>
            </w:r>
            <w:proofErr w:type="spellStart"/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Kruskal</w:t>
            </w:r>
            <w:proofErr w:type="spellEnd"/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-Wallis</w:t>
            </w:r>
            <w:r w:rsidR="00783A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 </w:t>
            </w:r>
          </w:p>
          <w:p w:rsidR="00B109B4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Estudio de casos.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 xml:space="preserve">DECIMO QUINTA 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SEMANA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Sesión 15:</w:t>
            </w:r>
            <w:r w:rsidR="00A41C0D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Prueba de Friedman. 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Práctica: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="00783A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Evaluación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. 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b/>
                <w:sz w:val="18"/>
                <w:szCs w:val="24"/>
              </w:rPr>
              <w:t>DECIMO SEXTA SEMANA</w:t>
            </w: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</w:t>
            </w:r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esión 16: </w:t>
            </w:r>
            <w:r w:rsidR="00783A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SEGUNDO PARCIAL</w:t>
            </w:r>
          </w:p>
        </w:tc>
        <w:tc>
          <w:tcPr>
            <w:tcW w:w="2977" w:type="dxa"/>
          </w:tcPr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40F86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Aplica y analiza adecuadamente la técnica </w:t>
            </w:r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no paramétr</w:t>
            </w:r>
            <w:r w:rsidR="007C3193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icas para la comparación de </w:t>
            </w:r>
            <w:r w:rsidR="004A4767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tratamientos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</w:p>
          <w:p w:rsidR="007C3193" w:rsidRPr="00E50A67" w:rsidRDefault="007C319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</w:tc>
        <w:tc>
          <w:tcPr>
            <w:tcW w:w="2268" w:type="dxa"/>
          </w:tcPr>
          <w:p w:rsidR="00740F86" w:rsidRPr="00E50A67" w:rsidRDefault="00740F86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740F86" w:rsidRPr="00E50A67" w:rsidRDefault="00740F86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744CF3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Es consciente de las alternativas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que se pueden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utilizar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 xml:space="preserve"> </w:t>
            </w: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para el análisis de datos</w:t>
            </w:r>
            <w:r w:rsidR="00B956AA"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.</w:t>
            </w: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</w:p>
          <w:p w:rsidR="00B956AA" w:rsidRPr="00E50A67" w:rsidRDefault="00B956AA" w:rsidP="00DD73E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24"/>
              </w:rPr>
            </w:pPr>
            <w:r w:rsidRPr="00E50A67">
              <w:rPr>
                <w:rFonts w:ascii="Arial Unicode MS" w:eastAsia="Arial Unicode MS" w:hAnsi="Arial Unicode MS" w:cs="Arial Unicode MS"/>
                <w:sz w:val="18"/>
                <w:szCs w:val="24"/>
              </w:rPr>
              <w:t>Valora el rigor estadístico  y es cuidadoso en sus procedimientos</w:t>
            </w:r>
          </w:p>
        </w:tc>
      </w:tr>
    </w:tbl>
    <w:p w:rsidR="00516B21" w:rsidRDefault="00516B21" w:rsidP="00DD73EE">
      <w:pPr>
        <w:pStyle w:val="Prrafodelista"/>
        <w:tabs>
          <w:tab w:val="left" w:pos="284"/>
          <w:tab w:val="left" w:pos="1134"/>
          <w:tab w:val="left" w:pos="2552"/>
        </w:tabs>
        <w:spacing w:after="0" w:line="240" w:lineRule="auto"/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DD73EE">
      <w:pPr>
        <w:pStyle w:val="Prrafodelista"/>
        <w:tabs>
          <w:tab w:val="left" w:pos="284"/>
          <w:tab w:val="left" w:pos="1134"/>
          <w:tab w:val="left" w:pos="2552"/>
        </w:tabs>
        <w:spacing w:after="0" w:line="240" w:lineRule="auto"/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DD73EE">
      <w:pPr>
        <w:pStyle w:val="Prrafodelista"/>
        <w:tabs>
          <w:tab w:val="left" w:pos="284"/>
          <w:tab w:val="left" w:pos="1134"/>
          <w:tab w:val="left" w:pos="2552"/>
        </w:tabs>
        <w:spacing w:after="0" w:line="240" w:lineRule="auto"/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525F6" w:rsidRPr="00D05F9C" w:rsidRDefault="00D105A3" w:rsidP="005525F6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 xml:space="preserve">METODOLOGÍA DE EVALUACIÓN </w:t>
      </w: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Evaluación Teórica (ET)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Realizados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en fechas programadas por la oficina de registros y asuntos académicos.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21042">
        <w:rPr>
          <w:rFonts w:ascii="Arial Unicode MS" w:eastAsia="Arial Unicode MS" w:hAnsi="Arial Unicode MS" w:cs="Arial Unicode MS"/>
          <w:sz w:val="24"/>
          <w:szCs w:val="24"/>
        </w:rPr>
        <w:t>Peso primer parcial = 0.</w:t>
      </w:r>
      <w:r>
        <w:rPr>
          <w:rFonts w:ascii="Arial Unicode MS" w:eastAsia="Arial Unicode MS" w:hAnsi="Arial Unicode MS" w:cs="Arial Unicode MS"/>
          <w:sz w:val="24"/>
          <w:szCs w:val="24"/>
        </w:rPr>
        <w:t>35</w:t>
      </w:r>
    </w:p>
    <w:p w:rsidR="00DA6AE3" w:rsidRPr="00321042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21042">
        <w:rPr>
          <w:rFonts w:ascii="Arial Unicode MS" w:eastAsia="Arial Unicode MS" w:hAnsi="Arial Unicode MS" w:cs="Arial Unicode MS"/>
          <w:sz w:val="24"/>
          <w:szCs w:val="24"/>
        </w:rPr>
        <w:t xml:space="preserve">Peso </w:t>
      </w:r>
      <w:r>
        <w:rPr>
          <w:rFonts w:ascii="Arial Unicode MS" w:eastAsia="Arial Unicode MS" w:hAnsi="Arial Unicode MS" w:cs="Arial Unicode MS"/>
          <w:sz w:val="24"/>
          <w:szCs w:val="24"/>
        </w:rPr>
        <w:t>segundo</w:t>
      </w:r>
      <w:r w:rsidRPr="00321042">
        <w:rPr>
          <w:rFonts w:ascii="Arial Unicode MS" w:eastAsia="Arial Unicode MS" w:hAnsi="Arial Unicode MS" w:cs="Arial Unicode MS"/>
          <w:sz w:val="24"/>
          <w:szCs w:val="24"/>
        </w:rPr>
        <w:t xml:space="preserve"> parcial = 0.</w:t>
      </w:r>
      <w:r>
        <w:rPr>
          <w:rFonts w:ascii="Arial Unicode MS" w:eastAsia="Arial Unicode MS" w:hAnsi="Arial Unicode MS" w:cs="Arial Unicode MS"/>
          <w:sz w:val="24"/>
          <w:szCs w:val="24"/>
        </w:rPr>
        <w:t>35</w:t>
      </w:r>
    </w:p>
    <w:p w:rsidR="00DA6AE3" w:rsidRPr="00D32356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Evaluación Práctica (EP)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7E25C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Peso primer e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xamen práctico = 0.1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0 </w:t>
      </w:r>
    </w:p>
    <w:p w:rsidR="00DA6AE3" w:rsidRPr="00D32356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Exposición de resultados de prueba </w:t>
      </w:r>
      <w:r w:rsidR="007E25C3">
        <w:rPr>
          <w:rFonts w:ascii="Arial Unicode MS" w:eastAsia="Arial Unicode MS" w:hAnsi="Arial Unicode MS" w:cs="Arial Unicode MS"/>
          <w:sz w:val="24"/>
          <w:szCs w:val="24"/>
        </w:rPr>
        <w:t>experimental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 = 0.1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0 </w:t>
      </w: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studio de caso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(E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C</w:t>
      </w: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)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Luego de explicado los fundamentos teóricos, se formarán grupos para el estudio de caso y su exposición por el alumno en cada clase. </w:t>
      </w: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Peso estudio caso = 0.10</w:t>
      </w: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DA6AE3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Promedio final (PF)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DA6AE3" w:rsidRPr="00153D90" w:rsidRDefault="00DA6AE3" w:rsidP="00DA6AE3">
      <w:pPr>
        <w:spacing w:after="0" w:line="240" w:lineRule="auto"/>
        <w:ind w:left="1134"/>
        <w:jc w:val="both"/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</w:pPr>
      <w:r w:rsidRPr="00153D90">
        <w:rPr>
          <w:rFonts w:ascii="Arial Unicode MS" w:eastAsia="Arial Unicode MS" w:hAnsi="Arial Unicode MS" w:cs="Arial Unicode MS"/>
          <w:b/>
          <w:sz w:val="24"/>
          <w:szCs w:val="24"/>
          <w:lang w:val="en-US"/>
        </w:rPr>
        <w:t>PF = 0.35 (1° ET) + 0.35 (2° ET) + 0.20 (EP) + 0.10 (EC)</w:t>
      </w:r>
    </w:p>
    <w:p w:rsidR="00DA6AE3" w:rsidRPr="00153D90" w:rsidRDefault="00DA6AE3" w:rsidP="00DA6AE3">
      <w:pPr>
        <w:spacing w:after="0" w:line="240" w:lineRule="auto"/>
        <w:ind w:left="1418" w:hanging="284"/>
        <w:jc w:val="both"/>
        <w:rPr>
          <w:rFonts w:ascii="Arial Unicode MS" w:eastAsia="Arial Unicode MS" w:hAnsi="Arial Unicode MS" w:cs="Arial Unicode MS"/>
          <w:b/>
          <w:bCs/>
          <w:lang w:val="en-US"/>
        </w:rPr>
      </w:pPr>
    </w:p>
    <w:p w:rsidR="00DA6AE3" w:rsidRPr="00D32356" w:rsidRDefault="00DA6AE3" w:rsidP="00DA6AE3">
      <w:pPr>
        <w:spacing w:after="0" w:line="240" w:lineRule="auto"/>
        <w:ind w:left="709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b/>
          <w:sz w:val="24"/>
          <w:szCs w:val="24"/>
        </w:rPr>
        <w:t>Observaciones:</w:t>
      </w:r>
    </w:p>
    <w:p w:rsidR="00DA6AE3" w:rsidRPr="00D32356" w:rsidRDefault="00DA6AE3" w:rsidP="00DA6AE3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La calificación 10.5 equivale a 11 (Once), mientras 10.4 equivale a 10 (Diez)</w:t>
      </w:r>
    </w:p>
    <w:p w:rsidR="00DA6AE3" w:rsidRPr="00D32356" w:rsidRDefault="00DA6AE3" w:rsidP="00DA6AE3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La inasistencia a los exámenes p</w:t>
      </w:r>
      <w:r>
        <w:rPr>
          <w:rFonts w:ascii="Arial Unicode MS" w:eastAsia="Arial Unicode MS" w:hAnsi="Arial Unicode MS" w:cs="Arial Unicode MS"/>
        </w:rPr>
        <w:t xml:space="preserve">arciales y práctica por causas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no documentadas </w:t>
      </w:r>
      <w:r>
        <w:rPr>
          <w:rFonts w:ascii="Arial Unicode MS" w:eastAsia="Arial Unicode MS" w:hAnsi="Arial Unicode MS" w:cs="Arial Unicode MS"/>
        </w:rPr>
        <w:t xml:space="preserve">a la dirección de escuela </w:t>
      </w:r>
      <w:r w:rsidRPr="00D32356">
        <w:rPr>
          <w:rFonts w:ascii="Arial Unicode MS" w:eastAsia="Arial Unicode MS" w:hAnsi="Arial Unicode MS" w:cs="Arial Unicode MS"/>
          <w:sz w:val="24"/>
          <w:szCs w:val="24"/>
        </w:rPr>
        <w:t>se calificará con cero.</w:t>
      </w:r>
    </w:p>
    <w:p w:rsidR="00DA6AE3" w:rsidRPr="00D32356" w:rsidRDefault="00DA6AE3" w:rsidP="00DA6AE3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 xml:space="preserve">El examen sustitutorio incluye todo el contenido del curso y reemplaza a la menor calificación de uno de los exámenes parciales. </w:t>
      </w:r>
    </w:p>
    <w:p w:rsidR="00DA6AE3" w:rsidRPr="00D32356" w:rsidRDefault="00DA6AE3" w:rsidP="00DA6AE3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Para poder acceder al examen sustitutorio, el alumno debe de tener una calificación igual o superior a 07 (siete) y no superar el 30% de inasistencias.</w:t>
      </w:r>
    </w:p>
    <w:p w:rsidR="00DA6AE3" w:rsidRPr="00D32356" w:rsidRDefault="00DA6AE3" w:rsidP="00DA6AE3">
      <w:pPr>
        <w:numPr>
          <w:ilvl w:val="0"/>
          <w:numId w:val="5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32356">
        <w:rPr>
          <w:rFonts w:ascii="Arial Unicode MS" w:eastAsia="Arial Unicode MS" w:hAnsi="Arial Unicode MS" w:cs="Arial Unicode MS"/>
          <w:sz w:val="24"/>
          <w:szCs w:val="24"/>
        </w:rPr>
        <w:t>El alumno que obtiene una calificación inferior a 07 (siete) o tiene más del 30% de inasistencia al primer parcial, no tiene oportunidad de aprobar el curso.</w:t>
      </w:r>
    </w:p>
    <w:p w:rsidR="007E6434" w:rsidRDefault="007E6434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153D90" w:rsidRDefault="00153D90" w:rsidP="00C63B0B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A46740" w:rsidRPr="00D05F9C" w:rsidRDefault="00372AE4" w:rsidP="00372AE4">
      <w:pPr>
        <w:ind w:left="1134" w:hanging="1134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</w:t>
      </w:r>
      <w:r w:rsidR="005525F6"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VI.      </w:t>
      </w:r>
      <w:r w:rsidR="003B4ADE" w:rsidRPr="00D05F9C">
        <w:rPr>
          <w:rFonts w:ascii="Arial Unicode MS" w:eastAsia="Arial Unicode MS" w:hAnsi="Arial Unicode MS" w:cs="Arial Unicode MS"/>
          <w:b/>
          <w:sz w:val="24"/>
          <w:szCs w:val="24"/>
        </w:rPr>
        <w:t>BIBLIOGRAFÍA</w:t>
      </w:r>
      <w:r w:rsidR="00CF508B"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BÁSICA Y COMPLEMENTARIA</w:t>
      </w:r>
      <w:r w:rsidR="00A46740" w:rsidRPr="00D05F9C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516B21" w:rsidRPr="00D05F9C" w:rsidRDefault="00516B21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1.</w:t>
      </w:r>
      <w:r w:rsidR="009D37B4"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DAWSON, B. y R. G. TRAPP. 2002. 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Bioestadística Médica. Editorial El Manual Moderno. Tercera Edición. México. 435 pp. </w:t>
      </w:r>
    </w:p>
    <w:p w:rsidR="00516B21" w:rsidRPr="00D05F9C" w:rsidRDefault="00516B21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2.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GUTIERREZ H. y R. DE LA VARA. 2004. 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Análisis y Diseño de Experimentos. Editorial McGraw-Hill Interamericana. México. 571 pp.</w:t>
      </w:r>
    </w:p>
    <w:p w:rsidR="00A020D5" w:rsidRPr="00D05F9C" w:rsidRDefault="00A020D5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3.</w:t>
      </w:r>
      <w:r w:rsidR="009D37B4"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KAPS M. y W. LAMBERSON. </w:t>
      </w:r>
      <w:r w:rsidRPr="00153D90"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>2009.</w:t>
      </w:r>
      <w:r w:rsidR="00E32A05" w:rsidRPr="00153D90">
        <w:rPr>
          <w:rFonts w:ascii="Arial Unicode MS" w:eastAsia="Arial Unicode MS" w:hAnsi="Arial Unicode MS" w:cs="Arial Unicode MS"/>
          <w:b/>
          <w:sz w:val="24"/>
          <w:szCs w:val="24"/>
          <w:lang w:val="es-PE"/>
        </w:rPr>
        <w:t xml:space="preserve"> </w:t>
      </w:r>
      <w:proofErr w:type="spellStart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Bio</w:t>
      </w:r>
      <w:r w:rsidR="00F214A1"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e</w:t>
      </w:r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statistics</w:t>
      </w:r>
      <w:proofErr w:type="spellEnd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 xml:space="preserve"> </w:t>
      </w:r>
      <w:proofErr w:type="spellStart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for</w:t>
      </w:r>
      <w:proofErr w:type="spellEnd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 xml:space="preserve"> Animal </w:t>
      </w:r>
      <w:proofErr w:type="spellStart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Science</w:t>
      </w:r>
      <w:proofErr w:type="spellEnd"/>
      <w:r w:rsidRPr="00153D90">
        <w:rPr>
          <w:rFonts w:ascii="Arial Unicode MS" w:eastAsia="Arial Unicode MS" w:hAnsi="Arial Unicode MS" w:cs="Arial Unicode MS"/>
          <w:sz w:val="24"/>
          <w:szCs w:val="24"/>
          <w:lang w:val="es-PE"/>
        </w:rPr>
        <w:t>. Editorial CAB International.</w:t>
      </w:r>
      <w:r w:rsidRPr="00D05F9C">
        <w:rPr>
          <w:rFonts w:ascii="Arial Unicode MS" w:eastAsia="Arial Unicode MS" w:hAnsi="Arial Unicode MS" w:cs="Arial Unicode MS"/>
          <w:sz w:val="24"/>
          <w:szCs w:val="24"/>
        </w:rPr>
        <w:t>Segunda Edición.UK, 504 pp.</w:t>
      </w:r>
    </w:p>
    <w:p w:rsidR="00516B21" w:rsidRPr="00D05F9C" w:rsidRDefault="00A020D5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4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KUEHL, R. O. 2001. </w:t>
      </w:r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>Diseño de experimentos. Pri</w:t>
      </w:r>
      <w:r w:rsidR="00E32A05">
        <w:rPr>
          <w:rFonts w:ascii="Arial Unicode MS" w:eastAsia="Arial Unicode MS" w:hAnsi="Arial Unicode MS" w:cs="Arial Unicode MS"/>
          <w:sz w:val="24"/>
          <w:szCs w:val="24"/>
        </w:rPr>
        <w:t xml:space="preserve">ncipios Estadísticos de Diseño </w:t>
      </w:r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y Análisis de Investigación. Editorial Thomson </w:t>
      </w:r>
      <w:proofErr w:type="spellStart"/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>Learning</w:t>
      </w:r>
      <w:proofErr w:type="spellEnd"/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>. Segunda Edición. México. 666 pp.</w:t>
      </w:r>
    </w:p>
    <w:p w:rsidR="00516B21" w:rsidRPr="00D05F9C" w:rsidRDefault="00A020D5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5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ab/>
        <w:t xml:space="preserve">MONTGOMERY, D.C. 1996. </w:t>
      </w:r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>Diseño y Análisis de Experimentos. Grupo Editorial Iberoamericana. Primera Edición. México. 589 pp.</w:t>
      </w:r>
    </w:p>
    <w:p w:rsidR="00516B21" w:rsidRPr="00D05F9C" w:rsidRDefault="00A020D5" w:rsidP="00516B21">
      <w:pPr>
        <w:ind w:left="1080" w:hanging="372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05F9C">
        <w:rPr>
          <w:rFonts w:ascii="Arial Unicode MS" w:eastAsia="Arial Unicode MS" w:hAnsi="Arial Unicode MS" w:cs="Arial Unicode MS"/>
          <w:b/>
          <w:sz w:val="24"/>
          <w:szCs w:val="24"/>
        </w:rPr>
        <w:t>6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  <w:r w:rsidR="009D37B4" w:rsidRPr="00D05F9C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516B21" w:rsidRPr="00D05F9C">
        <w:rPr>
          <w:rFonts w:ascii="Arial Unicode MS" w:eastAsia="Arial Unicode MS" w:hAnsi="Arial Unicode MS" w:cs="Arial Unicode MS"/>
          <w:b/>
          <w:sz w:val="24"/>
          <w:szCs w:val="24"/>
        </w:rPr>
        <w:t>RODRIGUEZ J. M.2005.</w:t>
      </w:r>
      <w:r w:rsidR="00516B21" w:rsidRPr="00D05F9C">
        <w:rPr>
          <w:rFonts w:ascii="Arial Unicode MS" w:eastAsia="Arial Unicode MS" w:hAnsi="Arial Unicode MS" w:cs="Arial Unicode MS"/>
          <w:sz w:val="24"/>
          <w:szCs w:val="24"/>
        </w:rPr>
        <w:t xml:space="preserve"> Métodos de Investigación Pecuaria. Editorial Trillas. México. Primera edición. Segunda reimpresión. 208 pp.</w:t>
      </w:r>
    </w:p>
    <w:p w:rsidR="00516B21" w:rsidRPr="00D05F9C" w:rsidRDefault="00516B21" w:rsidP="00516B21">
      <w:pPr>
        <w:ind w:left="5184" w:firstLine="480"/>
        <w:rPr>
          <w:rFonts w:ascii="Arial Unicode MS" w:eastAsia="Arial Unicode MS" w:hAnsi="Arial Unicode MS" w:cs="Arial Unicode MS"/>
          <w:sz w:val="24"/>
          <w:szCs w:val="24"/>
        </w:rPr>
      </w:pPr>
    </w:p>
    <w:p w:rsidR="00516B21" w:rsidRPr="00D05F9C" w:rsidRDefault="00153D90" w:rsidP="00153D90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</w:p>
    <w:sectPr w:rsidR="00516B21" w:rsidRPr="00D05F9C" w:rsidSect="00C63B0B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740"/>
    <w:multiLevelType w:val="hybridMultilevel"/>
    <w:tmpl w:val="5664D33E"/>
    <w:lvl w:ilvl="0" w:tplc="87BE152C">
      <w:start w:val="1"/>
      <w:numFmt w:val="upperRoman"/>
      <w:lvlText w:val="%1."/>
      <w:lvlJc w:val="right"/>
      <w:pPr>
        <w:tabs>
          <w:tab w:val="num" w:pos="397"/>
        </w:tabs>
        <w:ind w:left="284" w:firstLine="4"/>
      </w:pPr>
      <w:rPr>
        <w:rFonts w:hint="default"/>
      </w:rPr>
    </w:lvl>
    <w:lvl w:ilvl="1" w:tplc="B3B0F8B8">
      <w:numFmt w:val="none"/>
      <w:lvlText w:val=""/>
      <w:lvlJc w:val="left"/>
      <w:pPr>
        <w:tabs>
          <w:tab w:val="num" w:pos="360"/>
        </w:tabs>
      </w:pPr>
    </w:lvl>
    <w:lvl w:ilvl="2" w:tplc="5A945E7C">
      <w:numFmt w:val="none"/>
      <w:lvlText w:val=""/>
      <w:lvlJc w:val="left"/>
      <w:pPr>
        <w:tabs>
          <w:tab w:val="num" w:pos="360"/>
        </w:tabs>
      </w:pPr>
    </w:lvl>
    <w:lvl w:ilvl="3" w:tplc="2780B702">
      <w:numFmt w:val="none"/>
      <w:lvlText w:val=""/>
      <w:lvlJc w:val="left"/>
      <w:pPr>
        <w:tabs>
          <w:tab w:val="num" w:pos="360"/>
        </w:tabs>
      </w:pPr>
    </w:lvl>
    <w:lvl w:ilvl="4" w:tplc="3F2E5B94">
      <w:numFmt w:val="none"/>
      <w:lvlText w:val=""/>
      <w:lvlJc w:val="left"/>
      <w:pPr>
        <w:tabs>
          <w:tab w:val="num" w:pos="360"/>
        </w:tabs>
      </w:pPr>
    </w:lvl>
    <w:lvl w:ilvl="5" w:tplc="CD360E6C">
      <w:numFmt w:val="none"/>
      <w:lvlText w:val=""/>
      <w:lvlJc w:val="left"/>
      <w:pPr>
        <w:tabs>
          <w:tab w:val="num" w:pos="360"/>
        </w:tabs>
      </w:pPr>
    </w:lvl>
    <w:lvl w:ilvl="6" w:tplc="C55CF160">
      <w:numFmt w:val="none"/>
      <w:lvlText w:val=""/>
      <w:lvlJc w:val="left"/>
      <w:pPr>
        <w:tabs>
          <w:tab w:val="num" w:pos="360"/>
        </w:tabs>
      </w:pPr>
    </w:lvl>
    <w:lvl w:ilvl="7" w:tplc="AC7CC77E">
      <w:numFmt w:val="none"/>
      <w:lvlText w:val=""/>
      <w:lvlJc w:val="left"/>
      <w:pPr>
        <w:tabs>
          <w:tab w:val="num" w:pos="360"/>
        </w:tabs>
      </w:pPr>
    </w:lvl>
    <w:lvl w:ilvl="8" w:tplc="BA469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66612AE"/>
    <w:multiLevelType w:val="hybridMultilevel"/>
    <w:tmpl w:val="DA9E976C"/>
    <w:lvl w:ilvl="0" w:tplc="7C8800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E2CC8"/>
    <w:multiLevelType w:val="hybridMultilevel"/>
    <w:tmpl w:val="A41AFCDC"/>
    <w:lvl w:ilvl="0" w:tplc="096E3DF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9E22E0D"/>
    <w:multiLevelType w:val="hybridMultilevel"/>
    <w:tmpl w:val="D87A535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53A1E"/>
    <w:rsid w:val="0006543B"/>
    <w:rsid w:val="000A709E"/>
    <w:rsid w:val="000F4E24"/>
    <w:rsid w:val="00116471"/>
    <w:rsid w:val="00135691"/>
    <w:rsid w:val="00135AE6"/>
    <w:rsid w:val="00153D90"/>
    <w:rsid w:val="001577B0"/>
    <w:rsid w:val="001675A0"/>
    <w:rsid w:val="00174FE4"/>
    <w:rsid w:val="00190959"/>
    <w:rsid w:val="001C2E7A"/>
    <w:rsid w:val="001D25AE"/>
    <w:rsid w:val="001E5D4E"/>
    <w:rsid w:val="001F0C93"/>
    <w:rsid w:val="00251627"/>
    <w:rsid w:val="002A53CE"/>
    <w:rsid w:val="002C1BED"/>
    <w:rsid w:val="003160DF"/>
    <w:rsid w:val="00321061"/>
    <w:rsid w:val="0035344D"/>
    <w:rsid w:val="00366D60"/>
    <w:rsid w:val="00372AE4"/>
    <w:rsid w:val="003B4ADE"/>
    <w:rsid w:val="003F4FEF"/>
    <w:rsid w:val="00431324"/>
    <w:rsid w:val="0044399D"/>
    <w:rsid w:val="004742A1"/>
    <w:rsid w:val="00480CB5"/>
    <w:rsid w:val="00494F9C"/>
    <w:rsid w:val="004A4767"/>
    <w:rsid w:val="004B609A"/>
    <w:rsid w:val="004D63B7"/>
    <w:rsid w:val="004E415F"/>
    <w:rsid w:val="005103CD"/>
    <w:rsid w:val="00516B21"/>
    <w:rsid w:val="005525F6"/>
    <w:rsid w:val="005713E9"/>
    <w:rsid w:val="005E1725"/>
    <w:rsid w:val="005F251F"/>
    <w:rsid w:val="00623F80"/>
    <w:rsid w:val="00637B49"/>
    <w:rsid w:val="00677932"/>
    <w:rsid w:val="006C1C23"/>
    <w:rsid w:val="006D1353"/>
    <w:rsid w:val="006F142F"/>
    <w:rsid w:val="0071006D"/>
    <w:rsid w:val="00740F86"/>
    <w:rsid w:val="00744CF3"/>
    <w:rsid w:val="00783A67"/>
    <w:rsid w:val="007C3193"/>
    <w:rsid w:val="007E25C3"/>
    <w:rsid w:val="007E6434"/>
    <w:rsid w:val="0084582A"/>
    <w:rsid w:val="008709A9"/>
    <w:rsid w:val="00893834"/>
    <w:rsid w:val="00916A3E"/>
    <w:rsid w:val="00917BE5"/>
    <w:rsid w:val="00941358"/>
    <w:rsid w:val="00977A33"/>
    <w:rsid w:val="009A35DA"/>
    <w:rsid w:val="009A363E"/>
    <w:rsid w:val="009A6B55"/>
    <w:rsid w:val="009D37B4"/>
    <w:rsid w:val="009D7FC4"/>
    <w:rsid w:val="009E578E"/>
    <w:rsid w:val="009F41C8"/>
    <w:rsid w:val="00A01682"/>
    <w:rsid w:val="00A020D5"/>
    <w:rsid w:val="00A12929"/>
    <w:rsid w:val="00A2125D"/>
    <w:rsid w:val="00A21898"/>
    <w:rsid w:val="00A2247F"/>
    <w:rsid w:val="00A34ABE"/>
    <w:rsid w:val="00A41C0D"/>
    <w:rsid w:val="00A46740"/>
    <w:rsid w:val="00A60FCA"/>
    <w:rsid w:val="00A96CA6"/>
    <w:rsid w:val="00AC1AF5"/>
    <w:rsid w:val="00AC36F1"/>
    <w:rsid w:val="00AD3FCA"/>
    <w:rsid w:val="00AF387E"/>
    <w:rsid w:val="00B109B4"/>
    <w:rsid w:val="00B21EF2"/>
    <w:rsid w:val="00B319CB"/>
    <w:rsid w:val="00B36691"/>
    <w:rsid w:val="00B803D5"/>
    <w:rsid w:val="00B956AA"/>
    <w:rsid w:val="00BB42FF"/>
    <w:rsid w:val="00BB5DA5"/>
    <w:rsid w:val="00BC0760"/>
    <w:rsid w:val="00BC68DD"/>
    <w:rsid w:val="00BD64EB"/>
    <w:rsid w:val="00BD6911"/>
    <w:rsid w:val="00BE0F15"/>
    <w:rsid w:val="00C221EA"/>
    <w:rsid w:val="00C40362"/>
    <w:rsid w:val="00C518DC"/>
    <w:rsid w:val="00C63B0B"/>
    <w:rsid w:val="00CA7D8A"/>
    <w:rsid w:val="00CC2420"/>
    <w:rsid w:val="00CC6A89"/>
    <w:rsid w:val="00CD14F5"/>
    <w:rsid w:val="00CF508B"/>
    <w:rsid w:val="00D05F9C"/>
    <w:rsid w:val="00D105A3"/>
    <w:rsid w:val="00D67CD9"/>
    <w:rsid w:val="00D73817"/>
    <w:rsid w:val="00D73F4A"/>
    <w:rsid w:val="00D91F70"/>
    <w:rsid w:val="00DA6AE3"/>
    <w:rsid w:val="00DB61EE"/>
    <w:rsid w:val="00DC0FD7"/>
    <w:rsid w:val="00DD591A"/>
    <w:rsid w:val="00DD5D98"/>
    <w:rsid w:val="00DD73EE"/>
    <w:rsid w:val="00DE1E44"/>
    <w:rsid w:val="00E32A05"/>
    <w:rsid w:val="00E40966"/>
    <w:rsid w:val="00E443D9"/>
    <w:rsid w:val="00E46689"/>
    <w:rsid w:val="00E50A67"/>
    <w:rsid w:val="00E64D15"/>
    <w:rsid w:val="00E72E3F"/>
    <w:rsid w:val="00E96971"/>
    <w:rsid w:val="00EA1FE7"/>
    <w:rsid w:val="00EA245E"/>
    <w:rsid w:val="00EA2588"/>
    <w:rsid w:val="00EB7DD2"/>
    <w:rsid w:val="00ED2205"/>
    <w:rsid w:val="00EE0535"/>
    <w:rsid w:val="00EF52CB"/>
    <w:rsid w:val="00F1076D"/>
    <w:rsid w:val="00F14A9C"/>
    <w:rsid w:val="00F210CD"/>
    <w:rsid w:val="00F214A1"/>
    <w:rsid w:val="00F443D1"/>
    <w:rsid w:val="00F656B7"/>
    <w:rsid w:val="00F71D26"/>
    <w:rsid w:val="00F76A02"/>
    <w:rsid w:val="00F855ED"/>
    <w:rsid w:val="00F87A9E"/>
    <w:rsid w:val="00FA5926"/>
    <w:rsid w:val="00FB0582"/>
    <w:rsid w:val="00FD18EC"/>
    <w:rsid w:val="00FF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5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05F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BC8F-3EA7-41DF-8434-98C6204B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1239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Usuario</cp:lastModifiedBy>
  <cp:revision>2</cp:revision>
  <cp:lastPrinted>2018-04-17T14:15:00Z</cp:lastPrinted>
  <dcterms:created xsi:type="dcterms:W3CDTF">2018-06-05T21:30:00Z</dcterms:created>
  <dcterms:modified xsi:type="dcterms:W3CDTF">2018-06-05T21:30:00Z</dcterms:modified>
</cp:coreProperties>
</file>